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1FF4" w:rsidRDefault="00F924C8" w:rsidP="00C43FAB">
      <w:pPr>
        <w:jc w:val="center"/>
        <w:rPr>
          <w:b/>
        </w:rPr>
      </w:pPr>
      <w:r>
        <w:rPr>
          <w:b/>
        </w:rPr>
        <w:t xml:space="preserve">GOVERNORS ISLAND CORPORATION </w:t>
      </w:r>
    </w:p>
    <w:p w:rsidR="00C43FAB" w:rsidRDefault="00F924C8" w:rsidP="00C43FAB">
      <w:pPr>
        <w:jc w:val="center"/>
        <w:rPr>
          <w:b/>
        </w:rPr>
      </w:pPr>
      <w:r>
        <w:rPr>
          <w:b/>
        </w:rPr>
        <w:t>d/b/a THE TRUST FOR GOVERNORS ISLAND</w:t>
      </w:r>
    </w:p>
    <w:p w:rsidR="00682135" w:rsidRDefault="00682135" w:rsidP="00C43FAB">
      <w:pPr>
        <w:jc w:val="center"/>
        <w:rPr>
          <w:b/>
        </w:rPr>
      </w:pPr>
    </w:p>
    <w:p w:rsidR="00C43FAB" w:rsidRDefault="00C43FAB" w:rsidP="00C43FAB">
      <w:pPr>
        <w:jc w:val="center"/>
        <w:rPr>
          <w:b/>
        </w:rPr>
      </w:pPr>
      <w:r>
        <w:rPr>
          <w:b/>
        </w:rPr>
        <w:t>INVESTMENT GUIDELINES</w:t>
      </w:r>
    </w:p>
    <w:p w:rsidR="00C43FAB" w:rsidRDefault="00C43FAB" w:rsidP="00C43FAB">
      <w:pPr>
        <w:jc w:val="center"/>
        <w:rPr>
          <w:b/>
        </w:rPr>
      </w:pPr>
      <w:r>
        <w:rPr>
          <w:b/>
        </w:rPr>
        <w:t>Board of Directors Meeting</w:t>
      </w:r>
    </w:p>
    <w:p w:rsidR="00C43FAB" w:rsidRDefault="00C43FAB" w:rsidP="00C43FAB">
      <w:pPr>
        <w:jc w:val="center"/>
        <w:rPr>
          <w:b/>
        </w:rPr>
      </w:pPr>
      <w:r>
        <w:rPr>
          <w:b/>
        </w:rPr>
        <w:t>July 13, 2010</w:t>
      </w:r>
    </w:p>
    <w:p w:rsidR="00760D24" w:rsidRDefault="00760D24" w:rsidP="00760D24">
      <w:pPr>
        <w:jc w:val="center"/>
        <w:rPr>
          <w:b/>
        </w:rPr>
      </w:pPr>
      <w:r>
        <w:rPr>
          <w:b/>
        </w:rPr>
        <w:t>[INITIALLY ADOPTED ON JULY 13, 2010</w:t>
      </w:r>
    </w:p>
    <w:p w:rsidR="00760D24" w:rsidRDefault="00760D24" w:rsidP="00760D24">
      <w:pPr>
        <w:jc w:val="center"/>
        <w:rPr>
          <w:b/>
        </w:rPr>
      </w:pPr>
      <w:r>
        <w:rPr>
          <w:b/>
        </w:rPr>
        <w:t>REVISED ON OCTOBER 11, 2017]</w:t>
      </w:r>
    </w:p>
    <w:p w:rsidR="00C43FAB" w:rsidRDefault="00C43FAB" w:rsidP="00C43FAB">
      <w:pPr>
        <w:rPr>
          <w:b/>
          <w:u w:val="single"/>
        </w:rPr>
      </w:pPr>
      <w:r>
        <w:rPr>
          <w:b/>
        </w:rPr>
        <w:tab/>
      </w:r>
      <w:r>
        <w:rPr>
          <w:b/>
        </w:rPr>
        <w:tab/>
      </w:r>
    </w:p>
    <w:p w:rsidR="00C43FAB" w:rsidRDefault="00C43FAB" w:rsidP="00C43FAB">
      <w:pPr>
        <w:numPr>
          <w:ilvl w:val="0"/>
          <w:numId w:val="1"/>
        </w:numPr>
        <w:rPr>
          <w:b/>
        </w:rPr>
      </w:pPr>
      <w:r>
        <w:rPr>
          <w:b/>
        </w:rPr>
        <w:t>Purpose</w:t>
      </w:r>
    </w:p>
    <w:p w:rsidR="00C43FAB" w:rsidRDefault="00C43FAB" w:rsidP="00C43FAB">
      <w:pPr>
        <w:jc w:val="both"/>
      </w:pPr>
    </w:p>
    <w:p w:rsidR="00C43FAB" w:rsidRDefault="00C43FAB" w:rsidP="00C43FAB">
      <w:pPr>
        <w:ind w:left="180"/>
        <w:jc w:val="both"/>
      </w:pPr>
      <w:r>
        <w:t>The purpose of this document is to establish policies, procedures and guidelines regarding the investing, monitoring and reporting of funds of the Trust for Governors Island (“The Trust”</w:t>
      </w:r>
      <w:r w:rsidR="008E76E8">
        <w:t>)</w:t>
      </w:r>
      <w:r>
        <w:t xml:space="preserve">. </w:t>
      </w:r>
    </w:p>
    <w:p w:rsidR="00C43FAB" w:rsidRDefault="00C43FAB" w:rsidP="00C43FAB">
      <w:pPr>
        <w:jc w:val="both"/>
      </w:pPr>
    </w:p>
    <w:p w:rsidR="00C43FAB" w:rsidRDefault="00C43FAB" w:rsidP="00C43FAB">
      <w:pPr>
        <w:numPr>
          <w:ilvl w:val="0"/>
          <w:numId w:val="1"/>
        </w:numPr>
        <w:jc w:val="both"/>
        <w:rPr>
          <w:b/>
        </w:rPr>
      </w:pPr>
      <w:r>
        <w:rPr>
          <w:b/>
        </w:rPr>
        <w:t>Scope of the Investment Policy</w:t>
      </w:r>
    </w:p>
    <w:p w:rsidR="00C43FAB" w:rsidRDefault="00C43FAB" w:rsidP="00C43FAB">
      <w:pPr>
        <w:jc w:val="both"/>
      </w:pPr>
    </w:p>
    <w:p w:rsidR="00C43FAB" w:rsidRDefault="00C43FAB" w:rsidP="00C43FAB">
      <w:pPr>
        <w:ind w:left="180"/>
        <w:jc w:val="both"/>
      </w:pPr>
      <w:r>
        <w:t>This policy applies to the funds of The Trust,</w:t>
      </w:r>
      <w:r>
        <w:rPr>
          <w:b/>
          <w:color w:val="000000"/>
        </w:rPr>
        <w:t xml:space="preserve"> </w:t>
      </w:r>
      <w:r>
        <w:rPr>
          <w:color w:val="000000"/>
        </w:rPr>
        <w:t>which for purposes of these guidelines</w:t>
      </w:r>
      <w:r>
        <w:rPr>
          <w:color w:val="FF0000"/>
        </w:rPr>
        <w:t xml:space="preserve"> </w:t>
      </w:r>
      <w:r>
        <w:t xml:space="preserve">consist of all moneys and other financial resources available for investment by The Trust on its own behalf or on behalf of any other entity or individual. </w:t>
      </w:r>
    </w:p>
    <w:p w:rsidR="00C43FAB" w:rsidRDefault="00C43FAB" w:rsidP="00C43FAB">
      <w:pPr>
        <w:jc w:val="both"/>
      </w:pPr>
    </w:p>
    <w:p w:rsidR="00C43FAB" w:rsidRDefault="00C43FAB" w:rsidP="00C43FAB">
      <w:pPr>
        <w:numPr>
          <w:ilvl w:val="0"/>
          <w:numId w:val="1"/>
        </w:numPr>
        <w:jc w:val="both"/>
        <w:rPr>
          <w:b/>
        </w:rPr>
      </w:pPr>
      <w:r>
        <w:rPr>
          <w:b/>
        </w:rPr>
        <w:t>Investment Objectives</w:t>
      </w:r>
    </w:p>
    <w:p w:rsidR="00C43FAB" w:rsidRDefault="00C43FAB" w:rsidP="00C43FAB">
      <w:pPr>
        <w:jc w:val="both"/>
      </w:pPr>
    </w:p>
    <w:p w:rsidR="00C43FAB" w:rsidRDefault="00C43FAB" w:rsidP="00C43FAB">
      <w:pPr>
        <w:ind w:left="180"/>
        <w:jc w:val="both"/>
      </w:pPr>
      <w:r>
        <w:t>The portfolio shall be managed to accomplish the following objectives:</w:t>
      </w:r>
    </w:p>
    <w:p w:rsidR="00C43FAB" w:rsidRDefault="00C43FAB" w:rsidP="00C43FAB">
      <w:pPr>
        <w:jc w:val="both"/>
      </w:pPr>
    </w:p>
    <w:p w:rsidR="00C43FAB" w:rsidRDefault="00C43FAB" w:rsidP="00C43FAB">
      <w:pPr>
        <w:ind w:left="720" w:hanging="540"/>
        <w:jc w:val="both"/>
      </w:pPr>
      <w:r>
        <w:t>A.</w:t>
      </w:r>
      <w:r>
        <w:tab/>
        <w:t>Preservation of Principal – The single most important objective of The Trust’s investment program is the preservation of principal of funds within the portfolio.</w:t>
      </w:r>
    </w:p>
    <w:p w:rsidR="00C43FAB" w:rsidRDefault="00C43FAB" w:rsidP="00C43FAB">
      <w:pPr>
        <w:tabs>
          <w:tab w:val="left" w:pos="180"/>
        </w:tabs>
        <w:ind w:left="720" w:hanging="720"/>
        <w:jc w:val="both"/>
      </w:pPr>
      <w:r>
        <w:tab/>
        <w:t xml:space="preserve">B.  </w:t>
      </w:r>
      <w:r>
        <w:tab/>
        <w:t>Maintenance of Liquidity – The portfolio shall be managed in such a manner that assures that funds are available as needed to meet</w:t>
      </w:r>
      <w:r>
        <w:rPr>
          <w:b/>
        </w:rPr>
        <w:t xml:space="preserve"> </w:t>
      </w:r>
      <w:r>
        <w:t>immediate and/or future operating requirements of The Trust.</w:t>
      </w:r>
    </w:p>
    <w:p w:rsidR="00C43FAB" w:rsidRDefault="00C43FAB" w:rsidP="00C43FAB">
      <w:pPr>
        <w:tabs>
          <w:tab w:val="left" w:pos="180"/>
          <w:tab w:val="left" w:pos="720"/>
        </w:tabs>
        <w:ind w:left="720" w:hanging="720"/>
        <w:jc w:val="both"/>
      </w:pPr>
      <w:r>
        <w:tab/>
        <w:t>C.</w:t>
      </w:r>
      <w:r>
        <w:tab/>
        <w:t xml:space="preserve">Maximize Return – The portfolio shall be managed in such a fashion as to maximize income through the purchase of authorized investments as stated below, </w:t>
      </w:r>
      <w:proofErr w:type="gramStart"/>
      <w:r>
        <w:t>taking into account</w:t>
      </w:r>
      <w:proofErr w:type="gramEnd"/>
      <w:r>
        <w:t xml:space="preserve"> the other investment objectives.</w:t>
      </w:r>
    </w:p>
    <w:p w:rsidR="00C43FAB" w:rsidRDefault="00C43FAB" w:rsidP="00C43FAB">
      <w:pPr>
        <w:jc w:val="both"/>
      </w:pPr>
    </w:p>
    <w:p w:rsidR="00C43FAB" w:rsidRDefault="00C43FAB" w:rsidP="00C43FAB">
      <w:pPr>
        <w:numPr>
          <w:ilvl w:val="0"/>
          <w:numId w:val="1"/>
        </w:numPr>
        <w:jc w:val="both"/>
        <w:rPr>
          <w:b/>
        </w:rPr>
      </w:pPr>
      <w:r>
        <w:rPr>
          <w:b/>
        </w:rPr>
        <w:t>Implementation of Guidelines</w:t>
      </w:r>
    </w:p>
    <w:p w:rsidR="00C43FAB" w:rsidRDefault="00C43FAB" w:rsidP="00C43FAB">
      <w:pPr>
        <w:jc w:val="both"/>
      </w:pPr>
    </w:p>
    <w:p w:rsidR="00C43FAB" w:rsidRDefault="00C43FAB" w:rsidP="00C43FAB">
      <w:pPr>
        <w:ind w:left="180"/>
        <w:jc w:val="both"/>
        <w:rPr>
          <w:color w:val="000000"/>
        </w:rPr>
      </w:pPr>
      <w:r>
        <w:t>The Chief Executive Officer, or any designee of CEO, shall be responsible for the prudent investment of funds and for the implementation of the investment program and the establishment of investment procedures</w:t>
      </w:r>
      <w:r>
        <w:rPr>
          <w:color w:val="000000"/>
        </w:rPr>
        <w:t xml:space="preserve"> and a system of controls to regulate the activities of subordinate staff</w:t>
      </w:r>
      <w:r>
        <w:t>,</w:t>
      </w:r>
      <w:r>
        <w:rPr>
          <w:color w:val="000000"/>
        </w:rPr>
        <w:t xml:space="preserve"> consistent with these guidelines.</w:t>
      </w:r>
    </w:p>
    <w:p w:rsidR="00564207" w:rsidRDefault="00564207" w:rsidP="00C43FAB">
      <w:pPr>
        <w:jc w:val="both"/>
      </w:pPr>
    </w:p>
    <w:p w:rsidR="00C43FAB" w:rsidRDefault="00C43FAB" w:rsidP="00C43FAB">
      <w:pPr>
        <w:numPr>
          <w:ilvl w:val="0"/>
          <w:numId w:val="1"/>
        </w:numPr>
        <w:jc w:val="both"/>
        <w:rPr>
          <w:b/>
        </w:rPr>
      </w:pPr>
      <w:r>
        <w:rPr>
          <w:b/>
        </w:rPr>
        <w:t>Authorized Investments</w:t>
      </w:r>
    </w:p>
    <w:p w:rsidR="00C43FAB" w:rsidRDefault="00C43FAB" w:rsidP="00C43FAB">
      <w:pPr>
        <w:jc w:val="both"/>
      </w:pPr>
    </w:p>
    <w:p w:rsidR="00C43FAB" w:rsidRDefault="00C43FAB" w:rsidP="00C43FAB">
      <w:pPr>
        <w:ind w:left="720" w:hanging="540"/>
        <w:jc w:val="both"/>
      </w:pPr>
      <w:r>
        <w:t>A.</w:t>
      </w:r>
      <w:r>
        <w:tab/>
        <w:t>The CEO, or any duly appointed designee, is authorized to invest funds of The Trust as summarized and restricted below:</w:t>
      </w:r>
    </w:p>
    <w:p w:rsidR="00C43FAB" w:rsidRDefault="00C43FAB" w:rsidP="00C43FAB">
      <w:pPr>
        <w:jc w:val="both"/>
      </w:pPr>
    </w:p>
    <w:p w:rsidR="00C43FAB" w:rsidRDefault="00C43FAB" w:rsidP="00C43FAB">
      <w:pPr>
        <w:ind w:left="1440" w:hanging="720"/>
        <w:jc w:val="both"/>
      </w:pPr>
      <w:r>
        <w:lastRenderedPageBreak/>
        <w:t>1.</w:t>
      </w:r>
      <w:r>
        <w:tab/>
        <w:t>U.S. Treasury Obligations.  United States Treasury bills</w:t>
      </w:r>
      <w:r>
        <w:rPr>
          <w:color w:val="000000"/>
        </w:rPr>
        <w:t xml:space="preserve"> and n</w:t>
      </w:r>
      <w:r>
        <w:t>otes, and any other obligation or security issued by the United States Treasury or any other obligation guaranteed as to principal and interest by the United States.</w:t>
      </w:r>
    </w:p>
    <w:p w:rsidR="00C43FAB" w:rsidRDefault="00C43FAB" w:rsidP="00C43FAB">
      <w:pPr>
        <w:ind w:left="1440" w:hanging="720"/>
        <w:jc w:val="both"/>
      </w:pPr>
    </w:p>
    <w:p w:rsidR="00C43FAB" w:rsidRDefault="00C43FAB" w:rsidP="00C43FAB">
      <w:pPr>
        <w:ind w:left="1440" w:hanging="720"/>
        <w:jc w:val="both"/>
      </w:pPr>
      <w:r>
        <w:t>2.</w:t>
      </w:r>
      <w:r>
        <w:tab/>
        <w:t>Federal Agency Obligations.  Bonds, notes, debentures, or other obligations or securities issued by any agency or instrumentality of the United States.</w:t>
      </w:r>
    </w:p>
    <w:p w:rsidR="00C43FAB" w:rsidRDefault="00C43FAB" w:rsidP="00C43FAB">
      <w:pPr>
        <w:tabs>
          <w:tab w:val="left" w:pos="360"/>
          <w:tab w:val="left" w:pos="1440"/>
        </w:tabs>
        <w:jc w:val="both"/>
      </w:pPr>
    </w:p>
    <w:p w:rsidR="00C43FAB" w:rsidRDefault="00C43FAB" w:rsidP="00C43FAB">
      <w:pPr>
        <w:tabs>
          <w:tab w:val="left" w:pos="360"/>
          <w:tab w:val="left" w:pos="1080"/>
          <w:tab w:val="left" w:pos="1440"/>
        </w:tabs>
        <w:ind w:left="1440" w:hanging="720"/>
        <w:jc w:val="both"/>
      </w:pPr>
      <w:r>
        <w:t xml:space="preserve">3. </w:t>
      </w:r>
      <w:r>
        <w:tab/>
      </w:r>
      <w:r>
        <w:tab/>
        <w:t xml:space="preserve">Commercial Paper.  Commercial paper rated A1 or P1 by Standard &amp; Poor’s Corporation or Moody’s Investor’s Service, Inc. or Fitch. </w:t>
      </w:r>
    </w:p>
    <w:p w:rsidR="00C43FAB" w:rsidRDefault="00C43FAB" w:rsidP="00C43FAB">
      <w:pPr>
        <w:tabs>
          <w:tab w:val="left" w:pos="1440"/>
        </w:tabs>
        <w:ind w:left="2160" w:hanging="720"/>
        <w:jc w:val="both"/>
        <w:rPr>
          <w:b/>
        </w:rPr>
      </w:pPr>
    </w:p>
    <w:p w:rsidR="00C43FAB" w:rsidRDefault="00C43FAB" w:rsidP="00C43FAB">
      <w:pPr>
        <w:tabs>
          <w:tab w:val="left" w:pos="900"/>
        </w:tabs>
        <w:ind w:left="1440" w:hanging="720"/>
        <w:jc w:val="both"/>
      </w:pPr>
      <w:r>
        <w:t>4.</w:t>
      </w:r>
      <w:r>
        <w:tab/>
        <w:t xml:space="preserve">Bankers’ Acceptances and Time Deposits of banks with worldwide assets </w:t>
      </w:r>
      <w:proofErr w:type="gramStart"/>
      <w:r>
        <w:t>in excess of</w:t>
      </w:r>
      <w:proofErr w:type="gramEnd"/>
      <w:r>
        <w:t xml:space="preserve"> $50 </w:t>
      </w:r>
      <w:r>
        <w:rPr>
          <w:color w:val="000000"/>
        </w:rPr>
        <w:t xml:space="preserve">million </w:t>
      </w:r>
      <w:r>
        <w:t xml:space="preserve">that are rated with the highest categories of the leading bank rating services and regional banks also rated within the highest categories. </w:t>
      </w:r>
    </w:p>
    <w:p w:rsidR="00C43FAB" w:rsidRDefault="00C43FAB" w:rsidP="00C43FAB">
      <w:pPr>
        <w:ind w:left="720" w:hanging="360"/>
        <w:jc w:val="both"/>
        <w:rPr>
          <w:b/>
        </w:rPr>
      </w:pPr>
    </w:p>
    <w:p w:rsidR="00C43FAB" w:rsidRDefault="00C43FAB" w:rsidP="00C43FAB">
      <w:pPr>
        <w:ind w:left="1440" w:hanging="720"/>
        <w:jc w:val="both"/>
      </w:pPr>
      <w:r>
        <w:t>5.</w:t>
      </w:r>
      <w:r>
        <w:tab/>
        <w:t>Certificates of Deposit with New York banks, including minority-owned banks. All such certificates of deposit in these banks must be Federal Deposit Insurance Corporation (“FDIC”) insured, except when otherwise collateralized.</w:t>
      </w:r>
    </w:p>
    <w:p w:rsidR="00C43FAB" w:rsidRDefault="00C43FAB" w:rsidP="00C43FAB">
      <w:pPr>
        <w:ind w:left="1260" w:hanging="360"/>
        <w:jc w:val="both"/>
      </w:pPr>
    </w:p>
    <w:p w:rsidR="00CB74C7" w:rsidRDefault="00C43FAB" w:rsidP="00C43FAB">
      <w:pPr>
        <w:tabs>
          <w:tab w:val="left" w:pos="1440"/>
        </w:tabs>
        <w:ind w:left="1440" w:hanging="720"/>
        <w:jc w:val="both"/>
        <w:rPr>
          <w:color w:val="000000"/>
        </w:rPr>
      </w:pPr>
      <w:r>
        <w:rPr>
          <w:color w:val="000000"/>
        </w:rPr>
        <w:t>6.</w:t>
      </w:r>
      <w:r>
        <w:rPr>
          <w:color w:val="000000"/>
        </w:rPr>
        <w:tab/>
      </w:r>
      <w:r w:rsidR="00CB74C7" w:rsidRPr="00CF7C59">
        <w:rPr>
          <w:color w:val="000000"/>
        </w:rPr>
        <w:t xml:space="preserve">Equities.  </w:t>
      </w:r>
      <w:r w:rsidR="00C63F3C" w:rsidRPr="00CF7C59">
        <w:rPr>
          <w:color w:val="000000"/>
        </w:rPr>
        <w:t>H</w:t>
      </w:r>
      <w:r w:rsidR="00CB74C7" w:rsidRPr="00CF7C59">
        <w:rPr>
          <w:color w:val="000000"/>
        </w:rPr>
        <w:t>igh-quality equity securities traded on the New York, NASDAQ or American Stock exchanges</w:t>
      </w:r>
      <w:r w:rsidR="00C63F3C" w:rsidRPr="00CF7C59">
        <w:rPr>
          <w:color w:val="000000"/>
        </w:rPr>
        <w:t xml:space="preserve"> as well as</w:t>
      </w:r>
      <w:r w:rsidR="0024736A" w:rsidRPr="00CF7C59">
        <w:rPr>
          <w:color w:val="000000"/>
        </w:rPr>
        <w:t xml:space="preserve"> mutual fund(s).</w:t>
      </w:r>
    </w:p>
    <w:p w:rsidR="00CB74C7" w:rsidRDefault="00CB74C7" w:rsidP="00C43FAB">
      <w:pPr>
        <w:tabs>
          <w:tab w:val="left" w:pos="1440"/>
        </w:tabs>
        <w:ind w:left="1440" w:hanging="720"/>
        <w:jc w:val="both"/>
        <w:rPr>
          <w:color w:val="000000"/>
        </w:rPr>
      </w:pPr>
    </w:p>
    <w:p w:rsidR="00C43FAB" w:rsidRDefault="00CB74C7" w:rsidP="00C43FAB">
      <w:pPr>
        <w:tabs>
          <w:tab w:val="left" w:pos="1440"/>
        </w:tabs>
        <w:ind w:left="1440" w:hanging="720"/>
        <w:jc w:val="both"/>
        <w:rPr>
          <w:color w:val="000000"/>
        </w:rPr>
      </w:pPr>
      <w:r>
        <w:rPr>
          <w:color w:val="000000"/>
        </w:rPr>
        <w:t>7.</w:t>
      </w:r>
      <w:r>
        <w:rPr>
          <w:color w:val="000000"/>
        </w:rPr>
        <w:tab/>
      </w:r>
      <w:r w:rsidR="00C43FAB">
        <w:rPr>
          <w:color w:val="000000"/>
        </w:rPr>
        <w:t>Other investments</w:t>
      </w:r>
      <w:r w:rsidR="00C43FAB">
        <w:rPr>
          <w:b/>
          <w:color w:val="000000"/>
        </w:rPr>
        <w:t xml:space="preserve"> </w:t>
      </w:r>
      <w:r w:rsidR="00C43FAB">
        <w:rPr>
          <w:color w:val="000000"/>
        </w:rPr>
        <w:t>approved by the Comptroller of New York City for the investment of City funds.</w:t>
      </w:r>
    </w:p>
    <w:p w:rsidR="00C43FAB" w:rsidRDefault="00C43FAB" w:rsidP="00C43FAB">
      <w:pPr>
        <w:jc w:val="both"/>
        <w:rPr>
          <w:color w:val="000000"/>
        </w:rPr>
      </w:pPr>
    </w:p>
    <w:p w:rsidR="00C43FAB" w:rsidRDefault="00C43FAB" w:rsidP="00C43FAB">
      <w:pPr>
        <w:ind w:left="720" w:hanging="540"/>
        <w:jc w:val="both"/>
        <w:rPr>
          <w:color w:val="000000"/>
        </w:rPr>
      </w:pPr>
      <w:r>
        <w:rPr>
          <w:color w:val="000000"/>
        </w:rPr>
        <w:t>B.</w:t>
      </w:r>
      <w:r>
        <w:rPr>
          <w:color w:val="000000"/>
        </w:rPr>
        <w:tab/>
        <w:t>In addition to the above investments, The Trust may deposit funds in the following (“Deposit Accounts”), with respect to funds needed for operational expenses and funds awaiting investment or disbursement:</w:t>
      </w:r>
    </w:p>
    <w:p w:rsidR="00C43FAB" w:rsidRDefault="00C43FAB" w:rsidP="00C43FAB">
      <w:pPr>
        <w:ind w:left="1260" w:hanging="360"/>
        <w:jc w:val="both"/>
        <w:rPr>
          <w:color w:val="000000"/>
        </w:rPr>
      </w:pPr>
    </w:p>
    <w:p w:rsidR="00C43FAB" w:rsidRDefault="00C43FAB" w:rsidP="00C43FAB">
      <w:pPr>
        <w:ind w:left="1440" w:hanging="720"/>
        <w:jc w:val="both"/>
        <w:rPr>
          <w:color w:val="000000"/>
        </w:rPr>
      </w:pPr>
      <w:r>
        <w:rPr>
          <w:color w:val="000000"/>
        </w:rPr>
        <w:t>1.</w:t>
      </w:r>
      <w:r>
        <w:rPr>
          <w:color w:val="000000"/>
        </w:rPr>
        <w:tab/>
        <w:t>High quality no-load money market mutual funds that restrict their investments to short term, highly rated money market instruments.</w:t>
      </w:r>
    </w:p>
    <w:p w:rsidR="00C43FAB" w:rsidRDefault="00C43FAB" w:rsidP="00C43FAB">
      <w:pPr>
        <w:ind w:left="1260" w:hanging="360"/>
        <w:jc w:val="both"/>
        <w:rPr>
          <w:b/>
          <w:color w:val="000000"/>
        </w:rPr>
      </w:pPr>
    </w:p>
    <w:p w:rsidR="00C43FAB" w:rsidRDefault="00C43FAB" w:rsidP="00C43FAB">
      <w:pPr>
        <w:ind w:left="1440" w:hanging="720"/>
        <w:jc w:val="both"/>
      </w:pPr>
      <w:r>
        <w:rPr>
          <w:color w:val="000000"/>
        </w:rPr>
        <w:t>2.</w:t>
      </w:r>
      <w:r>
        <w:tab/>
        <w:t xml:space="preserve">Other </w:t>
      </w:r>
      <w:proofErr w:type="gramStart"/>
      <w:r>
        <w:t>interest bearing</w:t>
      </w:r>
      <w:proofErr w:type="gramEnd"/>
      <w:r>
        <w:t xml:space="preserve"> accounts,</w:t>
      </w:r>
      <w:r>
        <w:rPr>
          <w:b/>
        </w:rPr>
        <w:t xml:space="preserve"> </w:t>
      </w:r>
      <w:r>
        <w:t>if permitted by applicable laws, rules and regulations, with New York City financial institutions designated by the New York City Banking Commission.</w:t>
      </w:r>
      <w:r>
        <w:tab/>
      </w:r>
    </w:p>
    <w:p w:rsidR="00C43FAB" w:rsidRDefault="00C43FAB" w:rsidP="00C43FAB">
      <w:pPr>
        <w:ind w:left="720" w:hanging="360"/>
        <w:jc w:val="both"/>
      </w:pPr>
    </w:p>
    <w:p w:rsidR="00C43FAB" w:rsidRDefault="00C43FAB" w:rsidP="00C43FAB">
      <w:pPr>
        <w:numPr>
          <w:ilvl w:val="0"/>
          <w:numId w:val="1"/>
        </w:numPr>
        <w:tabs>
          <w:tab w:val="left" w:pos="900"/>
        </w:tabs>
        <w:jc w:val="both"/>
        <w:rPr>
          <w:b/>
        </w:rPr>
      </w:pPr>
      <w:r>
        <w:rPr>
          <w:b/>
        </w:rPr>
        <w:t>Written Contracts</w:t>
      </w:r>
    </w:p>
    <w:p w:rsidR="00C43FAB" w:rsidRDefault="00C43FAB" w:rsidP="00C43FAB">
      <w:pPr>
        <w:tabs>
          <w:tab w:val="left" w:pos="900"/>
        </w:tabs>
        <w:jc w:val="both"/>
        <w:rPr>
          <w:b/>
        </w:rPr>
      </w:pPr>
    </w:p>
    <w:p w:rsidR="00C43FAB" w:rsidRDefault="00C43FAB" w:rsidP="00C43FAB">
      <w:pPr>
        <w:tabs>
          <w:tab w:val="left" w:pos="900"/>
        </w:tabs>
        <w:ind w:left="180"/>
        <w:jc w:val="both"/>
      </w:pPr>
      <w:r>
        <w:t>The Trust shall enter into written contracts pursuant to which investments are made which conform with the requirements of thes</w:t>
      </w:r>
      <w:r w:rsidR="00676C36">
        <w:t>e guidelines and Section 2925.3(c)</w:t>
      </w:r>
      <w:r>
        <w:t xml:space="preserve"> of the Public Authorities Law unless the </w:t>
      </w:r>
      <w:r w:rsidR="001920C4">
        <w:t>CEO</w:t>
      </w:r>
      <w:r>
        <w:t xml:space="preserve"> determines that a written contract containing such provisions is not practical or that there is not a regular business practice of written contracts containing such provisions with respect to a specific investment or transaction.</w:t>
      </w:r>
    </w:p>
    <w:p w:rsidR="00A8436F" w:rsidRDefault="00A8436F" w:rsidP="00C43FAB">
      <w:pPr>
        <w:tabs>
          <w:tab w:val="left" w:pos="720"/>
        </w:tabs>
        <w:jc w:val="both"/>
        <w:rPr>
          <w:b/>
        </w:rPr>
      </w:pPr>
    </w:p>
    <w:p w:rsidR="00CE6E88" w:rsidRDefault="00CE6E88" w:rsidP="00C43FAB">
      <w:pPr>
        <w:tabs>
          <w:tab w:val="left" w:pos="720"/>
        </w:tabs>
        <w:jc w:val="both"/>
        <w:rPr>
          <w:b/>
        </w:rPr>
      </w:pPr>
    </w:p>
    <w:p w:rsidR="00CE6E88" w:rsidRDefault="00CE6E88" w:rsidP="00C43FAB">
      <w:pPr>
        <w:tabs>
          <w:tab w:val="left" w:pos="720"/>
        </w:tabs>
        <w:jc w:val="both"/>
        <w:rPr>
          <w:b/>
        </w:rPr>
      </w:pPr>
    </w:p>
    <w:p w:rsidR="00CE6E88" w:rsidRDefault="00CE6E88" w:rsidP="00C43FAB">
      <w:pPr>
        <w:tabs>
          <w:tab w:val="left" w:pos="720"/>
        </w:tabs>
        <w:jc w:val="both"/>
        <w:rPr>
          <w:b/>
        </w:rPr>
      </w:pPr>
    </w:p>
    <w:p w:rsidR="00C43FAB" w:rsidRDefault="00C43FAB" w:rsidP="00C43FAB">
      <w:pPr>
        <w:numPr>
          <w:ilvl w:val="0"/>
          <w:numId w:val="1"/>
        </w:numPr>
        <w:tabs>
          <w:tab w:val="left" w:pos="900"/>
        </w:tabs>
        <w:jc w:val="both"/>
        <w:rPr>
          <w:b/>
        </w:rPr>
      </w:pPr>
      <w:r>
        <w:rPr>
          <w:b/>
        </w:rPr>
        <w:lastRenderedPageBreak/>
        <w:t>Diversification</w:t>
      </w:r>
    </w:p>
    <w:p w:rsidR="00C43FAB" w:rsidRDefault="00C43FAB" w:rsidP="00C43FAB">
      <w:pPr>
        <w:tabs>
          <w:tab w:val="left" w:pos="720"/>
        </w:tabs>
        <w:jc w:val="both"/>
      </w:pPr>
    </w:p>
    <w:p w:rsidR="00C43FAB" w:rsidRDefault="00C43FAB" w:rsidP="00745DA8">
      <w:pPr>
        <w:tabs>
          <w:tab w:val="left" w:pos="180"/>
          <w:tab w:val="left" w:pos="720"/>
        </w:tabs>
        <w:ind w:left="180"/>
        <w:jc w:val="both"/>
      </w:pPr>
      <w:r>
        <w:t xml:space="preserve">The portfolio shall be structured to diversify investments to reduce the risk of loss resulting from over-concentration of assets in a specific maturity, a specific issuer or a specific type of security.  </w:t>
      </w:r>
    </w:p>
    <w:p w:rsidR="00C43FAB" w:rsidRDefault="00C43FAB" w:rsidP="00C43FAB">
      <w:pPr>
        <w:tabs>
          <w:tab w:val="left" w:pos="720"/>
        </w:tabs>
      </w:pPr>
    </w:p>
    <w:p w:rsidR="00C43FAB" w:rsidRDefault="00C43FAB" w:rsidP="00C43FAB">
      <w:pPr>
        <w:numPr>
          <w:ilvl w:val="0"/>
          <w:numId w:val="1"/>
        </w:numPr>
        <w:tabs>
          <w:tab w:val="left" w:pos="900"/>
          <w:tab w:val="num" w:pos="1080"/>
        </w:tabs>
        <w:rPr>
          <w:b/>
        </w:rPr>
      </w:pPr>
      <w:r>
        <w:rPr>
          <w:b/>
        </w:rPr>
        <w:t>Maximum Maturity</w:t>
      </w:r>
    </w:p>
    <w:p w:rsidR="00C43FAB" w:rsidRDefault="00C43FAB" w:rsidP="00C43FAB">
      <w:pPr>
        <w:tabs>
          <w:tab w:val="left" w:pos="900"/>
        </w:tabs>
        <w:ind w:left="180"/>
        <w:jc w:val="both"/>
      </w:pPr>
    </w:p>
    <w:p w:rsidR="00C43FAB" w:rsidRDefault="00C43FAB" w:rsidP="00C43FAB">
      <w:pPr>
        <w:tabs>
          <w:tab w:val="left" w:pos="900"/>
        </w:tabs>
        <w:ind w:left="180"/>
        <w:jc w:val="both"/>
      </w:pPr>
      <w:r>
        <w:t xml:space="preserve">Maintenance of adequate liquidity to meet the cash flow needs of The Trust is essential.  Accordingly, the portfolio will be structured in a manner that ensures sufficient cash is available to meet anticipated liquidity needs.  Selection of investment maturities must be consistent with cash requirements </w:t>
      </w:r>
      <w:proofErr w:type="gramStart"/>
      <w:r>
        <w:t>in order to</w:t>
      </w:r>
      <w:proofErr w:type="gramEnd"/>
      <w:r>
        <w:t xml:space="preserve"> avoid the forced sale of securities prior to maturity.</w:t>
      </w:r>
    </w:p>
    <w:p w:rsidR="00C43FAB" w:rsidRDefault="00C43FAB" w:rsidP="00C43FAB">
      <w:pPr>
        <w:tabs>
          <w:tab w:val="left" w:pos="720"/>
        </w:tabs>
        <w:jc w:val="both"/>
      </w:pPr>
    </w:p>
    <w:p w:rsidR="00C43FAB" w:rsidRDefault="00C43FAB" w:rsidP="00C43FAB">
      <w:pPr>
        <w:ind w:left="180"/>
        <w:jc w:val="both"/>
      </w:pPr>
      <w:r>
        <w:t xml:space="preserve">For purposes of this investment policy, assets of the portfolio shall be segregated into two categories based on expected liquidity needs and purposes – Cash equivalents and Investments.  Assets categorized as Cash equivalents will be invested in permitted investments maturing in ninety (90) days or less </w:t>
      </w:r>
      <w:r>
        <w:rPr>
          <w:color w:val="000000"/>
        </w:rPr>
        <w:t xml:space="preserve">or deposited in Deposit Accounts.  </w:t>
      </w:r>
    </w:p>
    <w:p w:rsidR="00C43FAB" w:rsidRDefault="00C43FAB" w:rsidP="00C43FAB">
      <w:pPr>
        <w:jc w:val="both"/>
      </w:pPr>
    </w:p>
    <w:p w:rsidR="00C43FAB" w:rsidRDefault="00C43FAB" w:rsidP="00C43FAB">
      <w:pPr>
        <w:numPr>
          <w:ilvl w:val="0"/>
          <w:numId w:val="1"/>
        </w:numPr>
        <w:jc w:val="both"/>
        <w:rPr>
          <w:b/>
        </w:rPr>
      </w:pPr>
      <w:r>
        <w:rPr>
          <w:b/>
        </w:rPr>
        <w:t>Monitoring and Adjusting the Portfolio</w:t>
      </w:r>
    </w:p>
    <w:p w:rsidR="00C43FAB" w:rsidRDefault="00C43FAB" w:rsidP="00C43FAB">
      <w:pPr>
        <w:jc w:val="both"/>
      </w:pPr>
    </w:p>
    <w:p w:rsidR="00C43FAB" w:rsidRDefault="00C43FAB" w:rsidP="00C43FAB">
      <w:pPr>
        <w:ind w:left="180"/>
        <w:jc w:val="both"/>
      </w:pPr>
      <w:r>
        <w:t xml:space="preserve">Those responsible for the day-to-day management of the portfolio will routinely monitor the contents of the portfolio, the available markets and the relative values of competing instruments, and will adjust the portfolio as necessary to meet the investment objectives listed above.  It is recognized and understood that the non-speculative active management of portfolio holdings may cause a loss on the sale of an owned investment.  </w:t>
      </w:r>
    </w:p>
    <w:p w:rsidR="00C43FAB" w:rsidRDefault="00C43FAB" w:rsidP="00C43FAB">
      <w:pPr>
        <w:jc w:val="both"/>
      </w:pPr>
    </w:p>
    <w:p w:rsidR="00C43FAB" w:rsidRDefault="00C43FAB" w:rsidP="00C43FAB">
      <w:pPr>
        <w:numPr>
          <w:ilvl w:val="0"/>
          <w:numId w:val="1"/>
        </w:numPr>
        <w:jc w:val="both"/>
        <w:rPr>
          <w:b/>
        </w:rPr>
      </w:pPr>
      <w:r>
        <w:rPr>
          <w:b/>
        </w:rPr>
        <w:t>Internal Controls</w:t>
      </w:r>
    </w:p>
    <w:p w:rsidR="00C43FAB" w:rsidRDefault="00C43FAB" w:rsidP="00C43FAB">
      <w:pPr>
        <w:jc w:val="both"/>
      </w:pPr>
    </w:p>
    <w:p w:rsidR="00C43FAB" w:rsidRDefault="00C43FAB" w:rsidP="00C43FAB">
      <w:pPr>
        <w:ind w:left="180"/>
        <w:jc w:val="both"/>
      </w:pPr>
      <w:r>
        <w:t>The Treasurer o</w:t>
      </w:r>
      <w:r>
        <w:rPr>
          <w:color w:val="000000"/>
        </w:rPr>
        <w:t>r</w:t>
      </w:r>
      <w:r w:rsidR="00745DA8">
        <w:rPr>
          <w:color w:val="000000"/>
        </w:rPr>
        <w:t xml:space="preserve"> </w:t>
      </w:r>
      <w:r w:rsidR="001920C4" w:rsidRPr="00CF7C59">
        <w:rPr>
          <w:color w:val="000000"/>
        </w:rPr>
        <w:t>Controller</w:t>
      </w:r>
      <w:r>
        <w:rPr>
          <w:color w:val="000000"/>
        </w:rPr>
        <w:t xml:space="preserve">, under the direction of the </w:t>
      </w:r>
      <w:r w:rsidR="001920C4">
        <w:rPr>
          <w:color w:val="000000"/>
        </w:rPr>
        <w:t>CEO</w:t>
      </w:r>
      <w:r>
        <w:rPr>
          <w:color w:val="000000"/>
        </w:rPr>
        <w:t xml:space="preserve">, </w:t>
      </w:r>
      <w:r>
        <w:t xml:space="preserve">shall establish and be responsible for monitoring a system of internal controls governing the administration and management of the portfolio.  Such controls shall be designed to prevent and control losses of the portfolio funds arising from fraud, employee error, misrepresentation by third parties, unanticipated changes in financial markets, or imprudent actions by any personnel.  </w:t>
      </w:r>
    </w:p>
    <w:p w:rsidR="00C43FAB" w:rsidRDefault="00C43FAB" w:rsidP="00C43FAB">
      <w:pPr>
        <w:jc w:val="both"/>
      </w:pPr>
    </w:p>
    <w:p w:rsidR="00C43FAB" w:rsidRDefault="00C43FAB" w:rsidP="00C43FAB">
      <w:pPr>
        <w:numPr>
          <w:ilvl w:val="0"/>
          <w:numId w:val="1"/>
        </w:numPr>
        <w:jc w:val="both"/>
        <w:rPr>
          <w:b/>
          <w:color w:val="000000"/>
        </w:rPr>
      </w:pPr>
      <w:r>
        <w:rPr>
          <w:b/>
          <w:color w:val="000000"/>
        </w:rPr>
        <w:t>Eligible Brokers,</w:t>
      </w:r>
      <w:r>
        <w:t xml:space="preserve"> </w:t>
      </w:r>
      <w:r>
        <w:rPr>
          <w:b/>
        </w:rPr>
        <w:t>Agents, Dealers,</w:t>
      </w:r>
      <w:r>
        <w:rPr>
          <w:b/>
          <w:color w:val="000000"/>
        </w:rPr>
        <w:t xml:space="preserve"> Investment Advisors, Investment Bankers and Custodians</w:t>
      </w:r>
    </w:p>
    <w:p w:rsidR="00C43FAB" w:rsidRDefault="00C43FAB" w:rsidP="00C43FAB">
      <w:pPr>
        <w:jc w:val="both"/>
        <w:rPr>
          <w:b/>
        </w:rPr>
      </w:pPr>
    </w:p>
    <w:p w:rsidR="00C43FAB" w:rsidRDefault="00C43FAB" w:rsidP="00C43FAB">
      <w:pPr>
        <w:ind w:left="180"/>
        <w:jc w:val="both"/>
      </w:pPr>
      <w:r>
        <w:t xml:space="preserve">The following are the standards for the qualifications of brokers, agents, dealers, </w:t>
      </w:r>
      <w:r>
        <w:rPr>
          <w:color w:val="000000"/>
        </w:rPr>
        <w:t>investment advisors,</w:t>
      </w:r>
      <w:r>
        <w:t xml:space="preserve"> investment bankers and custodians:</w:t>
      </w:r>
    </w:p>
    <w:p w:rsidR="00A8436F" w:rsidRDefault="00A8436F" w:rsidP="00C43FAB">
      <w:pPr>
        <w:ind w:left="180"/>
        <w:jc w:val="both"/>
      </w:pPr>
    </w:p>
    <w:p w:rsidR="00C43FAB" w:rsidRDefault="00C43FAB" w:rsidP="00C43FAB">
      <w:pPr>
        <w:tabs>
          <w:tab w:val="left" w:pos="900"/>
        </w:tabs>
        <w:ind w:left="180"/>
        <w:jc w:val="both"/>
      </w:pPr>
      <w:r>
        <w:t>A.</w:t>
      </w:r>
      <w:r>
        <w:tab/>
        <w:t>Brokers, Agents, Dealers</w:t>
      </w:r>
    </w:p>
    <w:p w:rsidR="00C43FAB" w:rsidRDefault="00C43FAB" w:rsidP="00C43FAB">
      <w:pPr>
        <w:tabs>
          <w:tab w:val="left" w:pos="900"/>
          <w:tab w:val="left" w:pos="1260"/>
        </w:tabs>
        <w:ind w:left="1800" w:hanging="1800"/>
        <w:jc w:val="both"/>
      </w:pPr>
      <w:r>
        <w:tab/>
      </w:r>
    </w:p>
    <w:p w:rsidR="00C43FAB" w:rsidRDefault="00C43FAB" w:rsidP="001C78B2">
      <w:pPr>
        <w:pStyle w:val="ListParagraph"/>
        <w:numPr>
          <w:ilvl w:val="0"/>
          <w:numId w:val="2"/>
        </w:numPr>
        <w:tabs>
          <w:tab w:val="left" w:pos="900"/>
          <w:tab w:val="left" w:pos="1260"/>
        </w:tabs>
        <w:jc w:val="both"/>
      </w:pPr>
      <w:r>
        <w:t xml:space="preserve">In Government Securities: any bank or trust company organized or licensed under the laws of any state of the United States of America or of the United States of </w:t>
      </w:r>
      <w:r>
        <w:lastRenderedPageBreak/>
        <w:t>America or any national banking association or any registered broker/dealer or government securities dealer.</w:t>
      </w:r>
    </w:p>
    <w:p w:rsidR="001C78B2" w:rsidRDefault="001C78B2" w:rsidP="001C78B2">
      <w:pPr>
        <w:pStyle w:val="ListParagraph"/>
        <w:tabs>
          <w:tab w:val="left" w:pos="900"/>
          <w:tab w:val="left" w:pos="1260"/>
        </w:tabs>
        <w:ind w:left="1260"/>
        <w:jc w:val="both"/>
      </w:pPr>
    </w:p>
    <w:p w:rsidR="00C43FAB" w:rsidRDefault="00C43FAB" w:rsidP="00C43FAB">
      <w:pPr>
        <w:tabs>
          <w:tab w:val="left" w:pos="900"/>
          <w:tab w:val="left" w:pos="1260"/>
        </w:tabs>
        <w:ind w:left="1260" w:hanging="1260"/>
        <w:jc w:val="both"/>
      </w:pPr>
      <w:r>
        <w:tab/>
        <w:t>2.</w:t>
      </w:r>
      <w:r>
        <w:tab/>
        <w:t>In Municipal Securities:  any broker, dealer or municipal securities dealer registered with the Securities and Exchange Commission (the “SEC”).</w:t>
      </w:r>
    </w:p>
    <w:p w:rsidR="00C43FAB" w:rsidRDefault="00C43FAB" w:rsidP="00C43FAB">
      <w:pPr>
        <w:tabs>
          <w:tab w:val="left" w:pos="900"/>
          <w:tab w:val="left" w:pos="1260"/>
        </w:tabs>
        <w:ind w:left="1800" w:hanging="1800"/>
        <w:jc w:val="both"/>
      </w:pPr>
    </w:p>
    <w:p w:rsidR="00C43FAB" w:rsidRDefault="00C43FAB" w:rsidP="00C43FAB">
      <w:pPr>
        <w:tabs>
          <w:tab w:val="left" w:pos="180"/>
        </w:tabs>
        <w:ind w:left="900" w:hanging="1800"/>
        <w:jc w:val="both"/>
      </w:pPr>
      <w:r>
        <w:tab/>
        <w:t>B.</w:t>
      </w:r>
      <w:r>
        <w:tab/>
        <w:t>Investment Advisors:  any bank or trust company organized under the laws of any state of the United States of America or any national banking association, and any firm or person which is registered with the SEC under the Investment Advisors Act of 1940.</w:t>
      </w:r>
    </w:p>
    <w:p w:rsidR="00C43FAB" w:rsidRDefault="00C43FAB" w:rsidP="00C43FAB">
      <w:pPr>
        <w:tabs>
          <w:tab w:val="left" w:pos="900"/>
          <w:tab w:val="left" w:pos="1260"/>
        </w:tabs>
        <w:ind w:left="1260" w:hanging="1800"/>
        <w:jc w:val="both"/>
      </w:pPr>
    </w:p>
    <w:p w:rsidR="00C43FAB" w:rsidRDefault="00C43FAB" w:rsidP="00C43FAB">
      <w:pPr>
        <w:tabs>
          <w:tab w:val="left" w:pos="180"/>
        </w:tabs>
        <w:ind w:left="900" w:hanging="1080"/>
        <w:jc w:val="both"/>
      </w:pPr>
      <w:r>
        <w:tab/>
        <w:t>C.</w:t>
      </w:r>
      <w:r>
        <w:tab/>
        <w:t>Investment Bankers:  firms retained by The Trust to serve as senior managing underwriters for negotiated sales must be registered with the SEC.</w:t>
      </w:r>
    </w:p>
    <w:p w:rsidR="00C43FAB" w:rsidRDefault="00C43FAB" w:rsidP="00C43FAB">
      <w:pPr>
        <w:tabs>
          <w:tab w:val="left" w:pos="900"/>
          <w:tab w:val="left" w:pos="1260"/>
        </w:tabs>
        <w:ind w:left="1260" w:hanging="1800"/>
        <w:jc w:val="both"/>
      </w:pPr>
    </w:p>
    <w:p w:rsidR="00C43FAB" w:rsidRDefault="00C43FAB" w:rsidP="00C43FAB">
      <w:pPr>
        <w:tabs>
          <w:tab w:val="left" w:pos="180"/>
          <w:tab w:val="left" w:pos="900"/>
        </w:tabs>
        <w:ind w:left="900" w:hanging="1800"/>
        <w:jc w:val="both"/>
      </w:pPr>
      <w:r>
        <w:tab/>
        <w:t>D.</w:t>
      </w:r>
      <w:r>
        <w:tab/>
        <w:t>Custodians:  any bank or trust company organized under the laws of any state of the United States of America or any national banking association with capital and surplus of not less than $50,000,000.</w:t>
      </w:r>
    </w:p>
    <w:p w:rsidR="00C43FAB" w:rsidRDefault="00C43FAB" w:rsidP="00C43FAB">
      <w:pPr>
        <w:jc w:val="both"/>
      </w:pPr>
    </w:p>
    <w:p w:rsidR="00C43FAB" w:rsidRDefault="00C43FAB" w:rsidP="00C43FAB">
      <w:pPr>
        <w:numPr>
          <w:ilvl w:val="0"/>
          <w:numId w:val="1"/>
        </w:numPr>
        <w:jc w:val="both"/>
        <w:rPr>
          <w:b/>
        </w:rPr>
      </w:pPr>
      <w:r>
        <w:rPr>
          <w:b/>
        </w:rPr>
        <w:t>Reporting</w:t>
      </w:r>
    </w:p>
    <w:p w:rsidR="002D3112" w:rsidRDefault="002D3112" w:rsidP="00745DA8">
      <w:r>
        <w:tab/>
      </w:r>
    </w:p>
    <w:p w:rsidR="00C43FAB" w:rsidRDefault="005725A2" w:rsidP="005725A2">
      <w:r>
        <w:t>A</w:t>
      </w:r>
      <w:r w:rsidR="00C43FAB">
        <w:t>.</w:t>
      </w:r>
      <w:r w:rsidR="00C43FAB">
        <w:tab/>
        <w:t>Annually</w:t>
      </w:r>
    </w:p>
    <w:p w:rsidR="00C43FAB" w:rsidRDefault="00C43FAB" w:rsidP="00C43FAB">
      <w:pPr>
        <w:ind w:left="1440" w:hanging="540"/>
        <w:jc w:val="both"/>
        <w:rPr>
          <w:u w:val="single"/>
        </w:rPr>
      </w:pPr>
    </w:p>
    <w:p w:rsidR="00C43FAB" w:rsidRDefault="00C43FAB" w:rsidP="00C43FAB">
      <w:pPr>
        <w:ind w:left="1440" w:hanging="720"/>
        <w:jc w:val="both"/>
      </w:pPr>
      <w:r>
        <w:t>1.</w:t>
      </w:r>
      <w:r>
        <w:tab/>
        <w:t>Audit – The Trust’s independent accountants shall conduct an annual audit of The Trust’s investments for each fiscal year, the results of which shall be made available to the Board of Directors at the time of its annual review and approval of these Guidelines.</w:t>
      </w:r>
      <w:r>
        <w:tab/>
      </w:r>
    </w:p>
    <w:p w:rsidR="00C43FAB" w:rsidRDefault="00C43FAB" w:rsidP="00C43FAB">
      <w:pPr>
        <w:ind w:left="2160" w:hanging="720"/>
        <w:jc w:val="both"/>
      </w:pPr>
    </w:p>
    <w:p w:rsidR="00C43FAB" w:rsidRDefault="00C43FAB" w:rsidP="00C43FAB">
      <w:pPr>
        <w:ind w:left="1440" w:hanging="720"/>
        <w:jc w:val="both"/>
      </w:pPr>
      <w:r>
        <w:t>2.</w:t>
      </w:r>
      <w:r>
        <w:tab/>
        <w:t>Investment Report – Annually, the Treasurer</w:t>
      </w:r>
      <w:r>
        <w:rPr>
          <w:color w:val="000000"/>
        </w:rPr>
        <w:t xml:space="preserve"> or </w:t>
      </w:r>
      <w:r w:rsidR="001920C4">
        <w:rPr>
          <w:color w:val="000000"/>
        </w:rPr>
        <w:t>Controller</w:t>
      </w:r>
      <w:r>
        <w:rPr>
          <w:color w:val="000000"/>
        </w:rPr>
        <w:t xml:space="preserve">, under the direction of the </w:t>
      </w:r>
      <w:r w:rsidR="001920C4">
        <w:rPr>
          <w:color w:val="000000"/>
        </w:rPr>
        <w:t>CEO</w:t>
      </w:r>
      <w:r>
        <w:rPr>
          <w:color w:val="000000"/>
        </w:rPr>
        <w:t xml:space="preserve">, or any duly appointed designees, </w:t>
      </w:r>
      <w:r>
        <w:t>shall prepare and the Board of Directors shall review and approve an Investment Report, which shall include:</w:t>
      </w:r>
    </w:p>
    <w:p w:rsidR="00C43FAB" w:rsidRDefault="00C43FAB" w:rsidP="00C43FAB">
      <w:pPr>
        <w:ind w:left="2160" w:hanging="720"/>
        <w:jc w:val="both"/>
      </w:pPr>
    </w:p>
    <w:p w:rsidR="00C43FAB" w:rsidRDefault="00C43FAB" w:rsidP="00C43FAB">
      <w:pPr>
        <w:ind w:left="2160" w:hanging="720"/>
        <w:jc w:val="both"/>
      </w:pPr>
      <w:r>
        <w:t>a.</w:t>
      </w:r>
      <w:r>
        <w:tab/>
        <w:t>The Investment Guidelines and amendments thereto since the last report;</w:t>
      </w:r>
    </w:p>
    <w:p w:rsidR="00C43FAB" w:rsidRDefault="00C43FAB" w:rsidP="00C43FAB">
      <w:pPr>
        <w:ind w:left="2160" w:hanging="720"/>
        <w:jc w:val="both"/>
      </w:pPr>
      <w:r>
        <w:t>b.</w:t>
      </w:r>
      <w:r>
        <w:tab/>
        <w:t>An explanation of the Guidelines and any amendments made since the last report;</w:t>
      </w:r>
    </w:p>
    <w:p w:rsidR="00C43FAB" w:rsidRDefault="00C43FAB" w:rsidP="00C43FAB">
      <w:pPr>
        <w:ind w:left="720" w:firstLine="720"/>
        <w:jc w:val="both"/>
      </w:pPr>
      <w:r>
        <w:t>c.</w:t>
      </w:r>
      <w:r>
        <w:tab/>
        <w:t>The independent audit report required by Subsection (1) above;</w:t>
      </w:r>
    </w:p>
    <w:p w:rsidR="00C43FAB" w:rsidRDefault="00C43FAB" w:rsidP="00C43FAB">
      <w:pPr>
        <w:ind w:left="720" w:firstLine="720"/>
        <w:jc w:val="both"/>
      </w:pPr>
      <w:r>
        <w:t>d.</w:t>
      </w:r>
      <w:r>
        <w:tab/>
        <w:t>The investment income record for the fiscal year; and</w:t>
      </w:r>
    </w:p>
    <w:p w:rsidR="00C43FAB" w:rsidRDefault="00C43FAB" w:rsidP="00C43FAB">
      <w:pPr>
        <w:ind w:left="2160" w:hanging="720"/>
        <w:jc w:val="both"/>
      </w:pPr>
      <w:r>
        <w:t>e.</w:t>
      </w:r>
      <w:r>
        <w:tab/>
        <w:t xml:space="preserve">A list of fees, commissions or other charges paid to each investment banker, broker, agent, dealer and advisor rendering investment associated services to The Trust since the last report.  </w:t>
      </w:r>
    </w:p>
    <w:p w:rsidR="00C43FAB" w:rsidRDefault="00C43FAB" w:rsidP="00C43FAB">
      <w:pPr>
        <w:jc w:val="both"/>
      </w:pPr>
    </w:p>
    <w:p w:rsidR="00C43FAB" w:rsidRDefault="00C43FAB" w:rsidP="00C43FAB">
      <w:pPr>
        <w:ind w:left="1440"/>
        <w:jc w:val="both"/>
      </w:pPr>
      <w:r>
        <w:rPr>
          <w:color w:val="000000"/>
        </w:rPr>
        <w:t xml:space="preserve">The Investment Report shall be submitted to the Mayor and the Comptroller of the City of New York and to the New York State Department of Audit and Control. </w:t>
      </w:r>
      <w:r>
        <w:rPr>
          <w:b/>
          <w:color w:val="FF0000"/>
        </w:rPr>
        <w:t xml:space="preserve"> </w:t>
      </w:r>
      <w:r>
        <w:t>Copies of the report shall also be made available to the public upon reasonable request.</w:t>
      </w:r>
    </w:p>
    <w:p w:rsidR="00C43FAB" w:rsidRDefault="00C43FAB" w:rsidP="00C43FAB">
      <w:pPr>
        <w:ind w:left="720"/>
        <w:jc w:val="both"/>
      </w:pPr>
    </w:p>
    <w:p w:rsidR="00CE6E88" w:rsidRDefault="00CE6E88" w:rsidP="00C43FAB">
      <w:pPr>
        <w:ind w:left="720"/>
        <w:jc w:val="both"/>
      </w:pPr>
    </w:p>
    <w:p w:rsidR="00CE6E88" w:rsidRDefault="00CE6E88" w:rsidP="00C43FAB">
      <w:pPr>
        <w:ind w:left="720"/>
        <w:jc w:val="both"/>
      </w:pPr>
      <w:bookmarkStart w:id="0" w:name="_GoBack"/>
      <w:bookmarkEnd w:id="0"/>
    </w:p>
    <w:p w:rsidR="00C43FAB" w:rsidRDefault="00C43FAB" w:rsidP="00C43FAB">
      <w:pPr>
        <w:numPr>
          <w:ilvl w:val="0"/>
          <w:numId w:val="1"/>
        </w:numPr>
        <w:jc w:val="both"/>
        <w:rPr>
          <w:b/>
        </w:rPr>
      </w:pPr>
      <w:r>
        <w:rPr>
          <w:b/>
        </w:rPr>
        <w:lastRenderedPageBreak/>
        <w:t>Applicability</w:t>
      </w:r>
    </w:p>
    <w:p w:rsidR="00C43FAB" w:rsidRDefault="00C43FAB" w:rsidP="00C43FAB">
      <w:pPr>
        <w:jc w:val="both"/>
        <w:rPr>
          <w:b/>
        </w:rPr>
      </w:pPr>
    </w:p>
    <w:p w:rsidR="00C43FAB" w:rsidRDefault="00C43FAB" w:rsidP="00C43FAB">
      <w:pPr>
        <w:ind w:left="180"/>
        <w:jc w:val="both"/>
      </w:pPr>
      <w:r>
        <w:t xml:space="preserve">Nothing contained in these Guidelines shall be deemed to alter, affect the validity of, modify the terms of or impair any contract, agreement or investment of funds made or </w:t>
      </w:r>
      <w:proofErr w:type="gramStart"/>
      <w:r>
        <w:t>entered into in</w:t>
      </w:r>
      <w:proofErr w:type="gramEnd"/>
      <w:r>
        <w:t xml:space="preserve"> violation of, or without compliance with, the provisions of these Guidelines.</w:t>
      </w:r>
    </w:p>
    <w:p w:rsidR="00C43FAB" w:rsidRDefault="00C43FAB" w:rsidP="00C43FAB">
      <w:pPr>
        <w:jc w:val="both"/>
        <w:rPr>
          <w:b/>
        </w:rPr>
      </w:pPr>
    </w:p>
    <w:p w:rsidR="00C43FAB" w:rsidRDefault="00C43FAB" w:rsidP="00C43FAB">
      <w:pPr>
        <w:numPr>
          <w:ilvl w:val="0"/>
          <w:numId w:val="1"/>
        </w:numPr>
        <w:jc w:val="both"/>
        <w:rPr>
          <w:b/>
        </w:rPr>
      </w:pPr>
      <w:r>
        <w:rPr>
          <w:b/>
        </w:rPr>
        <w:t>Conflict of Law</w:t>
      </w:r>
    </w:p>
    <w:p w:rsidR="00C43FAB" w:rsidRDefault="00C43FAB" w:rsidP="00C43FAB">
      <w:pPr>
        <w:jc w:val="both"/>
      </w:pPr>
    </w:p>
    <w:p w:rsidR="00C43FAB" w:rsidRDefault="00C43FAB" w:rsidP="00C43FAB">
      <w:pPr>
        <w:ind w:left="180"/>
        <w:jc w:val="both"/>
      </w:pPr>
      <w:proofErr w:type="gramStart"/>
      <w:r>
        <w:t>In the event that</w:t>
      </w:r>
      <w:proofErr w:type="gramEnd"/>
      <w:r>
        <w:t xml:space="preserve"> any portion of this policy is in conflict with any State, City or federal law, that law will prevail.</w:t>
      </w:r>
    </w:p>
    <w:p w:rsidR="00C43FAB" w:rsidRDefault="00C43FAB" w:rsidP="00C43FAB">
      <w:pPr>
        <w:ind w:left="900"/>
        <w:jc w:val="both"/>
      </w:pPr>
    </w:p>
    <w:p w:rsidR="00C43FAB" w:rsidRDefault="00C43FAB" w:rsidP="00C43FAB">
      <w:pPr>
        <w:numPr>
          <w:ilvl w:val="0"/>
          <w:numId w:val="1"/>
        </w:numPr>
        <w:jc w:val="both"/>
        <w:rPr>
          <w:b/>
        </w:rPr>
      </w:pPr>
      <w:r>
        <w:rPr>
          <w:b/>
        </w:rPr>
        <w:t>Other Restrictions</w:t>
      </w:r>
    </w:p>
    <w:p w:rsidR="00C43FAB" w:rsidRDefault="00C43FAB" w:rsidP="00C43FAB">
      <w:pPr>
        <w:jc w:val="both"/>
      </w:pPr>
    </w:p>
    <w:p w:rsidR="00C43FAB" w:rsidRPr="00C43FAB" w:rsidRDefault="00C43FAB" w:rsidP="005725A2">
      <w:pPr>
        <w:ind w:left="180"/>
        <w:jc w:val="both"/>
        <w:rPr>
          <w:b/>
        </w:rPr>
      </w:pPr>
      <w:r>
        <w:rPr>
          <w:color w:val="000000"/>
        </w:rPr>
        <w:t xml:space="preserve">These </w:t>
      </w:r>
      <w:r>
        <w:t xml:space="preserve">Investment Guidelines do not modify any restriction, if any, </w:t>
      </w:r>
      <w:r>
        <w:rPr>
          <w:color w:val="000000"/>
        </w:rPr>
        <w:t xml:space="preserve">otherwise imposed </w:t>
      </w:r>
      <w:r>
        <w:t xml:space="preserve">on various types of funds held by The Trust; for example, any restrictions set forth in The Trust’s annual contracts with the City, or resulting from the source of funds (e.g. federal funds).  Those other restrictions, to the extent inconsistent with these Investment Guidelines, shall govern.  </w:t>
      </w:r>
    </w:p>
    <w:sectPr w:rsidR="00C43FAB" w:rsidRPr="00C43FAB" w:rsidSect="00C43FAB">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433C" w:rsidRDefault="0033433C" w:rsidP="00C43FAB">
      <w:r>
        <w:separator/>
      </w:r>
    </w:p>
  </w:endnote>
  <w:endnote w:type="continuationSeparator" w:id="0">
    <w:p w:rsidR="0033433C" w:rsidRDefault="0033433C" w:rsidP="00C43F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3112" w:rsidRDefault="002D31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5247218"/>
      <w:docPartObj>
        <w:docPartGallery w:val="Page Numbers (Bottom of Page)"/>
        <w:docPartUnique/>
      </w:docPartObj>
    </w:sdtPr>
    <w:sdtEndPr>
      <w:rPr>
        <w:noProof/>
      </w:rPr>
    </w:sdtEndPr>
    <w:sdtContent>
      <w:p w:rsidR="002D3112" w:rsidRDefault="002D3112">
        <w:pPr>
          <w:pStyle w:val="Footer"/>
          <w:jc w:val="center"/>
        </w:pPr>
        <w:r>
          <w:fldChar w:fldCharType="begin"/>
        </w:r>
        <w:r>
          <w:instrText xml:space="preserve"> PAGE   \* MERGEFORMAT </w:instrText>
        </w:r>
        <w:r>
          <w:fldChar w:fldCharType="separate"/>
        </w:r>
        <w:r w:rsidR="00CE6E88">
          <w:rPr>
            <w:noProof/>
          </w:rPr>
          <w:t>5</w:t>
        </w:r>
        <w:r>
          <w:rPr>
            <w:noProof/>
          </w:rPr>
          <w:fldChar w:fldCharType="end"/>
        </w:r>
      </w:p>
    </w:sdtContent>
  </w:sdt>
  <w:p w:rsidR="002D3112" w:rsidRDefault="002D311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3112" w:rsidRDefault="002D31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433C" w:rsidRDefault="0033433C" w:rsidP="00C43FAB">
      <w:r>
        <w:separator/>
      </w:r>
    </w:p>
  </w:footnote>
  <w:footnote w:type="continuationSeparator" w:id="0">
    <w:p w:rsidR="0033433C" w:rsidRDefault="0033433C" w:rsidP="00C43F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3112" w:rsidRDefault="002D311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3112" w:rsidRPr="00C43FAB" w:rsidRDefault="002D3112" w:rsidP="00C43FAB">
    <w:pPr>
      <w:pStyle w:val="Header"/>
      <w:jc w:val="center"/>
      <w:rPr>
        <w: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3112" w:rsidRDefault="002D31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A7FA2"/>
    <w:multiLevelType w:val="hybridMultilevel"/>
    <w:tmpl w:val="C42A15D0"/>
    <w:lvl w:ilvl="0" w:tplc="0F4C41AE">
      <w:start w:val="1"/>
      <w:numFmt w:val="upperRoman"/>
      <w:lvlText w:val="%1."/>
      <w:lvlJc w:val="right"/>
      <w:pPr>
        <w:tabs>
          <w:tab w:val="num" w:pos="180"/>
        </w:tabs>
        <w:ind w:left="180" w:hanging="180"/>
      </w:pPr>
      <w:rPr>
        <w:b/>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 w15:restartNumberingAfterBreak="0">
    <w:nsid w:val="2E0D59EC"/>
    <w:multiLevelType w:val="hybridMultilevel"/>
    <w:tmpl w:val="FCBAF0F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32B05964"/>
    <w:multiLevelType w:val="hybridMultilevel"/>
    <w:tmpl w:val="453CA5C6"/>
    <w:lvl w:ilvl="0" w:tplc="696EFDE8">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 w15:restartNumberingAfterBreak="0">
    <w:nsid w:val="5A0B1291"/>
    <w:multiLevelType w:val="hybridMultilevel"/>
    <w:tmpl w:val="F8347198"/>
    <w:lvl w:ilvl="0" w:tplc="04090015">
      <w:start w:val="1"/>
      <w:numFmt w:val="upp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15:restartNumberingAfterBreak="0">
    <w:nsid w:val="705A710E"/>
    <w:multiLevelType w:val="hybridMultilevel"/>
    <w:tmpl w:val="DD42CFB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44137C2"/>
    <w:multiLevelType w:val="hybridMultilevel"/>
    <w:tmpl w:val="A728580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3"/>
  </w:num>
  <w:num w:numId="5">
    <w:abstractNumId w:val="5"/>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3FAB"/>
    <w:rsid w:val="00085EB9"/>
    <w:rsid w:val="00136AFA"/>
    <w:rsid w:val="001920C4"/>
    <w:rsid w:val="001B41BF"/>
    <w:rsid w:val="001C78B2"/>
    <w:rsid w:val="0024736A"/>
    <w:rsid w:val="002639DE"/>
    <w:rsid w:val="002D3112"/>
    <w:rsid w:val="003342C8"/>
    <w:rsid w:val="0033433C"/>
    <w:rsid w:val="00385143"/>
    <w:rsid w:val="003D69A4"/>
    <w:rsid w:val="00431FF4"/>
    <w:rsid w:val="00490D00"/>
    <w:rsid w:val="00564207"/>
    <w:rsid w:val="005725A2"/>
    <w:rsid w:val="005C6251"/>
    <w:rsid w:val="00676C36"/>
    <w:rsid w:val="00682135"/>
    <w:rsid w:val="006D02B5"/>
    <w:rsid w:val="00745DA8"/>
    <w:rsid w:val="00760D24"/>
    <w:rsid w:val="007A279A"/>
    <w:rsid w:val="007A466E"/>
    <w:rsid w:val="008527A1"/>
    <w:rsid w:val="0088678A"/>
    <w:rsid w:val="008E76E8"/>
    <w:rsid w:val="00A05F3F"/>
    <w:rsid w:val="00A8436F"/>
    <w:rsid w:val="00BA264D"/>
    <w:rsid w:val="00C43FAB"/>
    <w:rsid w:val="00C63F3C"/>
    <w:rsid w:val="00CB74C7"/>
    <w:rsid w:val="00CE6E88"/>
    <w:rsid w:val="00CF7C59"/>
    <w:rsid w:val="00D64555"/>
    <w:rsid w:val="00EE6E23"/>
    <w:rsid w:val="00F8487D"/>
    <w:rsid w:val="00F924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D19C65D"/>
  <w15:docId w15:val="{5EA37E67-B5A5-4D6B-80BB-FC4455AD2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43FA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FAB"/>
    <w:pPr>
      <w:tabs>
        <w:tab w:val="center" w:pos="4680"/>
        <w:tab w:val="right" w:pos="9360"/>
      </w:tabs>
    </w:pPr>
  </w:style>
  <w:style w:type="character" w:customStyle="1" w:styleId="HeaderChar">
    <w:name w:val="Header Char"/>
    <w:basedOn w:val="DefaultParagraphFont"/>
    <w:link w:val="Header"/>
    <w:uiPriority w:val="99"/>
    <w:rsid w:val="00C43FAB"/>
  </w:style>
  <w:style w:type="paragraph" w:styleId="Footer">
    <w:name w:val="footer"/>
    <w:basedOn w:val="Normal"/>
    <w:link w:val="FooterChar"/>
    <w:uiPriority w:val="99"/>
    <w:unhideWhenUsed/>
    <w:rsid w:val="00C43FAB"/>
    <w:pPr>
      <w:tabs>
        <w:tab w:val="center" w:pos="4680"/>
        <w:tab w:val="right" w:pos="9360"/>
      </w:tabs>
    </w:pPr>
  </w:style>
  <w:style w:type="character" w:customStyle="1" w:styleId="FooterChar">
    <w:name w:val="Footer Char"/>
    <w:basedOn w:val="DefaultParagraphFont"/>
    <w:link w:val="Footer"/>
    <w:uiPriority w:val="99"/>
    <w:rsid w:val="00C43FAB"/>
  </w:style>
  <w:style w:type="paragraph" w:styleId="BalloonText">
    <w:name w:val="Balloon Text"/>
    <w:basedOn w:val="Normal"/>
    <w:link w:val="BalloonTextChar"/>
    <w:uiPriority w:val="99"/>
    <w:semiHidden/>
    <w:unhideWhenUsed/>
    <w:rsid w:val="00C43FAB"/>
    <w:rPr>
      <w:rFonts w:ascii="Tahoma" w:hAnsi="Tahoma" w:cs="Tahoma"/>
      <w:sz w:val="16"/>
      <w:szCs w:val="16"/>
    </w:rPr>
  </w:style>
  <w:style w:type="character" w:customStyle="1" w:styleId="BalloonTextChar">
    <w:name w:val="Balloon Text Char"/>
    <w:basedOn w:val="DefaultParagraphFont"/>
    <w:link w:val="BalloonText"/>
    <w:uiPriority w:val="99"/>
    <w:semiHidden/>
    <w:rsid w:val="00C43FAB"/>
    <w:rPr>
      <w:rFonts w:ascii="Tahoma" w:hAnsi="Tahoma" w:cs="Tahoma"/>
      <w:sz w:val="16"/>
      <w:szCs w:val="16"/>
    </w:rPr>
  </w:style>
  <w:style w:type="paragraph" w:styleId="ListParagraph">
    <w:name w:val="List Paragraph"/>
    <w:basedOn w:val="Normal"/>
    <w:uiPriority w:val="34"/>
    <w:qFormat/>
    <w:rsid w:val="001C78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2662158">
      <w:bodyDiv w:val="1"/>
      <w:marLeft w:val="0"/>
      <w:marRight w:val="0"/>
      <w:marTop w:val="0"/>
      <w:marBottom w:val="0"/>
      <w:divBdr>
        <w:top w:val="none" w:sz="0" w:space="0" w:color="auto"/>
        <w:left w:val="none" w:sz="0" w:space="0" w:color="auto"/>
        <w:bottom w:val="none" w:sz="0" w:space="0" w:color="auto"/>
        <w:right w:val="none" w:sz="0" w:space="0" w:color="auto"/>
      </w:divBdr>
    </w:div>
    <w:div w:id="658729894">
      <w:bodyDiv w:val="1"/>
      <w:marLeft w:val="0"/>
      <w:marRight w:val="0"/>
      <w:marTop w:val="0"/>
      <w:marBottom w:val="0"/>
      <w:divBdr>
        <w:top w:val="none" w:sz="0" w:space="0" w:color="auto"/>
        <w:left w:val="none" w:sz="0" w:space="0" w:color="auto"/>
        <w:bottom w:val="none" w:sz="0" w:space="0" w:color="auto"/>
        <w:right w:val="none" w:sz="0" w:space="0" w:color="auto"/>
      </w:divBdr>
    </w:div>
    <w:div w:id="1240478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70407B-4AE8-401C-B43F-A5198856E5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5</Pages>
  <Words>1393</Words>
  <Characters>7942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Oyediran,Oyedele</dc:creator>
  <cp:lastModifiedBy>Matthew Bond</cp:lastModifiedBy>
  <cp:revision>7</cp:revision>
  <cp:lastPrinted>2017-09-11T18:06:00Z</cp:lastPrinted>
  <dcterms:created xsi:type="dcterms:W3CDTF">2017-09-19T19:31:00Z</dcterms:created>
  <dcterms:modified xsi:type="dcterms:W3CDTF">2017-10-23T16:45:00Z</dcterms:modified>
</cp:coreProperties>
</file>